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ECB58A">
      <w:pPr>
        <w:jc w:val="center"/>
        <w:rPr>
          <w:rFonts w:hint="eastAsia"/>
          <w:b/>
          <w:szCs w:val="21"/>
        </w:rPr>
      </w:pPr>
    </w:p>
    <w:p w14:paraId="3ABDE32C">
      <w:pPr>
        <w:jc w:val="center"/>
        <w:rPr>
          <w:rFonts w:hint="eastAsia"/>
          <w:b/>
          <w:szCs w:val="21"/>
        </w:rPr>
      </w:pPr>
    </w:p>
    <w:p w14:paraId="03587A31">
      <w:pPr>
        <w:jc w:val="center"/>
        <w:rPr>
          <w:rFonts w:hint="eastAsia"/>
          <w:b/>
          <w:szCs w:val="21"/>
        </w:rPr>
      </w:pPr>
    </w:p>
    <w:p w14:paraId="3CD68F67">
      <w:pPr>
        <w:jc w:val="center"/>
        <w:rPr>
          <w:rFonts w:hint="eastAsia"/>
          <w:b/>
          <w:szCs w:val="21"/>
        </w:rPr>
      </w:pPr>
    </w:p>
    <w:p w14:paraId="3196200B">
      <w:pPr>
        <w:jc w:val="center"/>
        <w:rPr>
          <w:rFonts w:hint="eastAsia"/>
          <w:b/>
          <w:szCs w:val="21"/>
        </w:rPr>
      </w:pPr>
      <w:bookmarkStart w:id="2" w:name="_GoBack"/>
      <w:bookmarkEnd w:id="2"/>
      <w:r>
        <w:rPr>
          <w:rFonts w:hint="eastAsia"/>
          <w:b/>
          <w:szCs w:val="21"/>
        </w:rPr>
        <w:t>附表</w:t>
      </w:r>
      <w:r>
        <w:rPr>
          <w:rFonts w:hint="eastAsia"/>
          <w:b/>
          <w:szCs w:val="21"/>
          <w:lang w:val="en-US" w:eastAsia="zh-CN"/>
        </w:rPr>
        <w:t>七</w:t>
      </w:r>
      <w:r>
        <w:rPr>
          <w:rFonts w:hint="eastAsia"/>
          <w:b/>
          <w:szCs w:val="21"/>
        </w:rPr>
        <w:t xml:space="preserve"> </w:t>
      </w:r>
      <w:r>
        <w:rPr>
          <w:rFonts w:hint="eastAsia"/>
          <w:b/>
          <w:szCs w:val="21"/>
          <w:lang w:val="en-US" w:eastAsia="zh-CN"/>
        </w:rPr>
        <w:t>信息技术</w:t>
      </w:r>
      <w:r>
        <w:rPr>
          <w:rFonts w:hint="eastAsia"/>
          <w:b/>
          <w:szCs w:val="21"/>
        </w:rPr>
        <w:t>服务管理体系服务风险表</w:t>
      </w:r>
    </w:p>
    <w:p w14:paraId="1AB0779A">
      <w:pPr>
        <w:jc w:val="center"/>
        <w:rPr>
          <w:rFonts w:hint="eastAsia"/>
          <w:b/>
          <w:szCs w:val="21"/>
        </w:rPr>
      </w:pPr>
    </w:p>
    <w:p w14:paraId="568E1B44">
      <w:pPr>
        <w:keepNext w:val="0"/>
        <w:keepLines w:val="0"/>
        <w:pageBreakBefore w:val="0"/>
        <w:widowControl w:val="0"/>
        <w:kinsoku/>
        <w:wordWrap/>
        <w:overflowPunct/>
        <w:topLinePunct w:val="0"/>
        <w:autoSpaceDE w:val="0"/>
        <w:autoSpaceDN w:val="0"/>
        <w:bidi w:val="0"/>
        <w:adjustRightInd w:val="0"/>
        <w:snapToGrid/>
        <w:ind w:firstLine="480" w:firstLineChars="200"/>
        <w:textAlignment w:val="auto"/>
        <w:rPr>
          <w:szCs w:val="21"/>
        </w:rPr>
      </w:pPr>
      <w:r>
        <w:rPr>
          <w:rFonts w:hint="eastAsia"/>
          <w:szCs w:val="21"/>
        </w:rPr>
        <w:t>服务风险包括服务管理体系失效所引起的后果及内外部因素对服务管理体系的潜在影响，按照下表进行计分，6分及以上为高风险，4分及5分为中风险，3分及以下为低风险。</w:t>
      </w:r>
    </w:p>
    <w:tbl>
      <w:tblPr>
        <w:tblStyle w:val="4"/>
        <w:tblW w:w="9573" w:type="dxa"/>
        <w:tblInd w:w="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9"/>
        <w:gridCol w:w="4968"/>
        <w:gridCol w:w="2262"/>
        <w:gridCol w:w="1134"/>
      </w:tblGrid>
      <w:tr w14:paraId="32BE3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1209" w:type="dxa"/>
            <w:noWrap w:val="0"/>
            <w:vAlign w:val="center"/>
          </w:tcPr>
          <w:p w14:paraId="6C1F4844">
            <w:pPr>
              <w:jc w:val="center"/>
              <w:rPr>
                <w:rFonts w:ascii="Calibri" w:hAnsi="Calibri"/>
                <w:b/>
                <w:szCs w:val="21"/>
                <w:lang w:val="en-GB"/>
              </w:rPr>
            </w:pPr>
            <w:r>
              <w:rPr>
                <w:rFonts w:hint="eastAsia" w:ascii="Calibri" w:hAnsi="Calibri"/>
                <w:b/>
                <w:szCs w:val="21"/>
                <w:lang w:val="en-GB"/>
              </w:rPr>
              <w:t>服务风险</w:t>
            </w:r>
          </w:p>
        </w:tc>
        <w:tc>
          <w:tcPr>
            <w:tcW w:w="4968" w:type="dxa"/>
            <w:noWrap w:val="0"/>
            <w:vAlign w:val="center"/>
          </w:tcPr>
          <w:p w14:paraId="594811A0">
            <w:pPr>
              <w:jc w:val="center"/>
              <w:rPr>
                <w:rFonts w:ascii="Calibri" w:hAnsi="Calibri"/>
                <w:b/>
                <w:szCs w:val="21"/>
                <w:lang w:val="en-GB"/>
              </w:rPr>
            </w:pPr>
            <w:r>
              <w:rPr>
                <w:rFonts w:hint="eastAsia" w:ascii="Calibri" w:hAnsi="Calibri"/>
                <w:b/>
                <w:szCs w:val="21"/>
                <w:lang w:val="en-GB"/>
              </w:rPr>
              <w:t>风险描述</w:t>
            </w:r>
          </w:p>
        </w:tc>
        <w:tc>
          <w:tcPr>
            <w:tcW w:w="2262" w:type="dxa"/>
            <w:noWrap w:val="0"/>
            <w:vAlign w:val="center"/>
          </w:tcPr>
          <w:p w14:paraId="324FB84E">
            <w:pPr>
              <w:jc w:val="center"/>
              <w:rPr>
                <w:rFonts w:ascii="Calibri" w:hAnsi="Calibri"/>
                <w:b/>
                <w:szCs w:val="21"/>
                <w:lang w:val="en-GB"/>
              </w:rPr>
            </w:pPr>
            <w:r>
              <w:rPr>
                <w:rFonts w:hint="eastAsia" w:ascii="Calibri" w:hAnsi="Calibri"/>
                <w:b/>
                <w:szCs w:val="21"/>
                <w:lang w:val="en-GB"/>
              </w:rPr>
              <w:t>是否存在服务风险</w:t>
            </w:r>
          </w:p>
        </w:tc>
        <w:tc>
          <w:tcPr>
            <w:tcW w:w="1134" w:type="dxa"/>
            <w:noWrap w:val="0"/>
            <w:vAlign w:val="center"/>
          </w:tcPr>
          <w:p w14:paraId="242B1811">
            <w:pPr>
              <w:jc w:val="center"/>
              <w:rPr>
                <w:rFonts w:ascii="Calibri" w:hAnsi="Calibri"/>
                <w:b/>
                <w:szCs w:val="21"/>
                <w:lang w:val="en-GB"/>
              </w:rPr>
            </w:pPr>
            <w:r>
              <w:rPr>
                <w:rFonts w:hint="eastAsia" w:ascii="Calibri" w:hAnsi="Calibri"/>
                <w:b/>
                <w:szCs w:val="21"/>
                <w:lang w:val="en-GB"/>
              </w:rPr>
              <w:t>风险分值</w:t>
            </w:r>
          </w:p>
        </w:tc>
      </w:tr>
      <w:tr w14:paraId="52C30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9" w:type="dxa"/>
            <w:vMerge w:val="restart"/>
            <w:noWrap w:val="0"/>
            <w:vAlign w:val="center"/>
          </w:tcPr>
          <w:p w14:paraId="20E45080">
            <w:pPr>
              <w:rPr>
                <w:rFonts w:ascii="Calibri" w:hAnsi="Calibri"/>
                <w:b/>
                <w:szCs w:val="21"/>
                <w:lang w:val="en-GB"/>
              </w:rPr>
            </w:pPr>
            <w:r>
              <w:rPr>
                <w:rFonts w:hint="eastAsia" w:ascii="Calibri" w:hAnsi="Calibri"/>
                <w:b/>
                <w:szCs w:val="21"/>
                <w:lang w:val="en-GB"/>
              </w:rPr>
              <w:t>服务管理体系失效所引起的后果</w:t>
            </w:r>
          </w:p>
        </w:tc>
        <w:tc>
          <w:tcPr>
            <w:tcW w:w="4968" w:type="dxa"/>
            <w:noWrap w:val="0"/>
            <w:vAlign w:val="center"/>
          </w:tcPr>
          <w:p w14:paraId="72831229">
            <w:pPr>
              <w:rPr>
                <w:rFonts w:ascii="Calibri" w:hAnsi="Calibri"/>
                <w:szCs w:val="21"/>
                <w:lang w:val="en-GB"/>
              </w:rPr>
            </w:pPr>
            <w:r>
              <w:rPr>
                <w:rFonts w:hint="eastAsia" w:ascii="Calibri" w:hAnsi="Calibri"/>
                <w:szCs w:val="21"/>
                <w:lang w:val="en-GB"/>
              </w:rPr>
              <w:t>未能达到服务级别协议会危及服务使用者、公众、消费者的安全、健康和经济</w:t>
            </w:r>
            <w:r>
              <w:rPr>
                <w:rFonts w:hint="eastAsia" w:ascii="Calibri" w:hAnsi="Calibri"/>
                <w:szCs w:val="21"/>
                <w:lang w:val="en-GB" w:eastAsia="zh-CN"/>
              </w:rPr>
              <w:t>（</w:t>
            </w:r>
            <w:r>
              <w:rPr>
                <w:rFonts w:hint="eastAsia" w:ascii="Calibri" w:hAnsi="Calibri"/>
                <w:szCs w:val="21"/>
                <w:lang w:val="en-GB"/>
              </w:rPr>
              <w:t>例如：未能在救护车服务中满足呼叫中心</w:t>
            </w:r>
            <w:r>
              <w:rPr>
                <w:rFonts w:ascii="Calibri" w:hAnsi="Calibri"/>
                <w:szCs w:val="21"/>
                <w:lang w:val="en-GB"/>
              </w:rPr>
              <w:t>SLA</w:t>
            </w:r>
            <w:r>
              <w:rPr>
                <w:rFonts w:hint="eastAsia" w:ascii="Calibri" w:hAnsi="Calibri"/>
                <w:szCs w:val="21"/>
                <w:lang w:val="en-GB"/>
              </w:rPr>
              <w:t>；未能达到支持“蓝灯”服务的服务水平，例如警察通信</w:t>
            </w:r>
            <w:r>
              <w:rPr>
                <w:rFonts w:hint="eastAsia" w:ascii="Calibri" w:hAnsi="Calibri"/>
                <w:szCs w:val="21"/>
                <w:lang w:val="en-GB" w:eastAsia="zh-CN"/>
              </w:rPr>
              <w:t>）</w:t>
            </w:r>
          </w:p>
        </w:tc>
        <w:tc>
          <w:tcPr>
            <w:tcW w:w="2262" w:type="dxa"/>
            <w:noWrap w:val="0"/>
            <w:vAlign w:val="center"/>
          </w:tcPr>
          <w:p w14:paraId="5F4B6CFA">
            <w:pPr>
              <w:rPr>
                <w:rFonts w:ascii="Calibri" w:hAnsi="Calibri"/>
                <w:szCs w:val="21"/>
                <w:lang w:val="en-GB"/>
              </w:rPr>
            </w:pPr>
          </w:p>
        </w:tc>
        <w:tc>
          <w:tcPr>
            <w:tcW w:w="1134" w:type="dxa"/>
            <w:noWrap w:val="0"/>
            <w:vAlign w:val="center"/>
          </w:tcPr>
          <w:p w14:paraId="4F31E043">
            <w:pPr>
              <w:rPr>
                <w:rFonts w:ascii="Calibri" w:hAnsi="Calibri"/>
                <w:szCs w:val="21"/>
                <w:lang w:val="en-GB"/>
              </w:rPr>
            </w:pPr>
            <w:r>
              <w:rPr>
                <w:rFonts w:ascii="Calibri" w:hAnsi="Calibri"/>
                <w:szCs w:val="21"/>
                <w:lang w:val="en-GB"/>
              </w:rPr>
              <w:t>3</w:t>
            </w:r>
          </w:p>
        </w:tc>
      </w:tr>
      <w:tr w14:paraId="632B5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9" w:type="dxa"/>
            <w:vMerge w:val="continue"/>
            <w:noWrap w:val="0"/>
            <w:vAlign w:val="center"/>
          </w:tcPr>
          <w:p w14:paraId="35B3052F">
            <w:pPr>
              <w:rPr>
                <w:rFonts w:ascii="Calibri" w:hAnsi="Calibri"/>
                <w:b/>
                <w:szCs w:val="21"/>
                <w:lang w:val="en-GB"/>
              </w:rPr>
            </w:pPr>
          </w:p>
        </w:tc>
        <w:tc>
          <w:tcPr>
            <w:tcW w:w="4968" w:type="dxa"/>
            <w:noWrap w:val="0"/>
            <w:vAlign w:val="center"/>
          </w:tcPr>
          <w:p w14:paraId="24B74B42">
            <w:pPr>
              <w:rPr>
                <w:rFonts w:ascii="Calibri" w:hAnsi="Calibri"/>
                <w:szCs w:val="21"/>
                <w:lang w:val="en-GB"/>
              </w:rPr>
            </w:pPr>
            <w:bookmarkStart w:id="0" w:name="OLE_LINK5"/>
            <w:bookmarkStart w:id="1" w:name="OLE_LINK4"/>
            <w:r>
              <w:rPr>
                <w:rFonts w:hint="eastAsia" w:ascii="Calibri" w:hAnsi="Calibri"/>
                <w:szCs w:val="21"/>
                <w:lang w:val="en-GB"/>
              </w:rPr>
              <w:t>未能达到服务级别协议会危及国家基础设施或基本服务的连续性</w:t>
            </w:r>
            <w:r>
              <w:rPr>
                <w:rFonts w:hint="eastAsia" w:ascii="Calibri" w:hAnsi="Calibri"/>
                <w:szCs w:val="21"/>
                <w:lang w:val="en-GB" w:eastAsia="zh-CN"/>
              </w:rPr>
              <w:t>（</w:t>
            </w:r>
            <w:r>
              <w:rPr>
                <w:rFonts w:hint="eastAsia" w:ascii="Calibri" w:hAnsi="Calibri"/>
                <w:szCs w:val="21"/>
                <w:lang w:val="en-GB"/>
              </w:rPr>
              <w:t>例如：电力、天然气、水、空中交通管制等服务、国家边境管制、普遍故障的自动取款机等服务</w:t>
            </w:r>
            <w:r>
              <w:rPr>
                <w:rFonts w:hint="eastAsia" w:ascii="Calibri" w:hAnsi="Calibri"/>
                <w:szCs w:val="21"/>
                <w:lang w:val="en-GB" w:eastAsia="zh-CN"/>
              </w:rPr>
              <w:t>）</w:t>
            </w:r>
            <w:bookmarkEnd w:id="0"/>
            <w:bookmarkEnd w:id="1"/>
          </w:p>
        </w:tc>
        <w:tc>
          <w:tcPr>
            <w:tcW w:w="2262" w:type="dxa"/>
            <w:noWrap w:val="0"/>
            <w:vAlign w:val="center"/>
          </w:tcPr>
          <w:p w14:paraId="7067D398">
            <w:pPr>
              <w:rPr>
                <w:rFonts w:ascii="Calibri" w:hAnsi="Calibri"/>
                <w:szCs w:val="21"/>
                <w:lang w:val="en-GB"/>
              </w:rPr>
            </w:pPr>
          </w:p>
        </w:tc>
        <w:tc>
          <w:tcPr>
            <w:tcW w:w="1134" w:type="dxa"/>
            <w:noWrap w:val="0"/>
            <w:vAlign w:val="center"/>
          </w:tcPr>
          <w:p w14:paraId="1889267F">
            <w:pPr>
              <w:rPr>
                <w:rFonts w:ascii="Calibri" w:hAnsi="Calibri"/>
                <w:szCs w:val="21"/>
                <w:lang w:val="en-GB"/>
              </w:rPr>
            </w:pPr>
            <w:r>
              <w:rPr>
                <w:rFonts w:ascii="Calibri" w:hAnsi="Calibri"/>
                <w:szCs w:val="21"/>
                <w:lang w:val="en-GB"/>
              </w:rPr>
              <w:t>3</w:t>
            </w:r>
          </w:p>
        </w:tc>
      </w:tr>
      <w:tr w14:paraId="2C7F2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9" w:type="dxa"/>
            <w:vMerge w:val="restart"/>
            <w:noWrap w:val="0"/>
            <w:vAlign w:val="center"/>
          </w:tcPr>
          <w:p w14:paraId="113B5B7D">
            <w:pPr>
              <w:rPr>
                <w:rFonts w:ascii="Calibri" w:hAnsi="Calibri"/>
                <w:b/>
                <w:szCs w:val="21"/>
                <w:lang w:val="en-GB"/>
              </w:rPr>
            </w:pPr>
            <w:r>
              <w:rPr>
                <w:rFonts w:hint="eastAsia" w:ascii="Calibri" w:hAnsi="Calibri"/>
                <w:b/>
                <w:szCs w:val="21"/>
                <w:lang w:val="en-GB"/>
              </w:rPr>
              <w:t>对服务管理体系的潜在影响</w:t>
            </w:r>
          </w:p>
        </w:tc>
        <w:tc>
          <w:tcPr>
            <w:tcW w:w="4968" w:type="dxa"/>
            <w:noWrap w:val="0"/>
            <w:vAlign w:val="center"/>
          </w:tcPr>
          <w:p w14:paraId="7001384C">
            <w:pPr>
              <w:rPr>
                <w:rFonts w:ascii="Calibri" w:hAnsi="Calibri"/>
                <w:szCs w:val="21"/>
                <w:lang w:val="en-GB"/>
              </w:rPr>
            </w:pPr>
            <w:r>
              <w:rPr>
                <w:rFonts w:hint="eastAsia" w:ascii="Calibri" w:hAnsi="Calibri"/>
                <w:szCs w:val="21"/>
                <w:lang w:val="en-GB"/>
              </w:rPr>
              <w:t>技术包括远程监控和对客户系统的远程访问。</w:t>
            </w:r>
          </w:p>
        </w:tc>
        <w:tc>
          <w:tcPr>
            <w:tcW w:w="2262" w:type="dxa"/>
            <w:noWrap w:val="0"/>
            <w:vAlign w:val="center"/>
          </w:tcPr>
          <w:p w14:paraId="05D9AB48">
            <w:pPr>
              <w:rPr>
                <w:rFonts w:ascii="Calibri" w:hAnsi="Calibri"/>
                <w:szCs w:val="21"/>
                <w:lang w:val="en-GB"/>
              </w:rPr>
            </w:pPr>
          </w:p>
        </w:tc>
        <w:tc>
          <w:tcPr>
            <w:tcW w:w="1134" w:type="dxa"/>
            <w:noWrap w:val="0"/>
            <w:vAlign w:val="center"/>
          </w:tcPr>
          <w:p w14:paraId="74E9AC2D">
            <w:pPr>
              <w:rPr>
                <w:rFonts w:ascii="Calibri" w:hAnsi="Calibri"/>
                <w:szCs w:val="21"/>
                <w:lang w:val="en-GB"/>
              </w:rPr>
            </w:pPr>
            <w:r>
              <w:rPr>
                <w:rFonts w:ascii="Calibri" w:hAnsi="Calibri"/>
                <w:szCs w:val="21"/>
                <w:lang w:val="en-GB"/>
              </w:rPr>
              <w:t>1</w:t>
            </w:r>
          </w:p>
        </w:tc>
      </w:tr>
      <w:tr w14:paraId="72BB6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9" w:type="dxa"/>
            <w:vMerge w:val="continue"/>
            <w:noWrap w:val="0"/>
            <w:vAlign w:val="center"/>
          </w:tcPr>
          <w:p w14:paraId="44D79221">
            <w:pPr>
              <w:rPr>
                <w:rFonts w:ascii="Calibri" w:hAnsi="Calibri"/>
                <w:b/>
                <w:szCs w:val="21"/>
                <w:lang w:val="en-GB"/>
              </w:rPr>
            </w:pPr>
          </w:p>
        </w:tc>
        <w:tc>
          <w:tcPr>
            <w:tcW w:w="4968" w:type="dxa"/>
            <w:noWrap w:val="0"/>
            <w:vAlign w:val="center"/>
          </w:tcPr>
          <w:p w14:paraId="104E1B2F">
            <w:pPr>
              <w:rPr>
                <w:rFonts w:ascii="Calibri" w:hAnsi="Calibri"/>
                <w:szCs w:val="21"/>
                <w:lang w:val="en-GB"/>
              </w:rPr>
            </w:pPr>
            <w:r>
              <w:rPr>
                <w:rFonts w:hint="eastAsia" w:ascii="Calibri" w:hAnsi="Calibri"/>
                <w:szCs w:val="21"/>
                <w:lang w:val="en-GB"/>
              </w:rPr>
              <w:t>支持包括软件开发</w:t>
            </w:r>
            <w:r>
              <w:rPr>
                <w:rFonts w:hint="eastAsia" w:ascii="Calibri" w:hAnsi="Calibri"/>
                <w:szCs w:val="21"/>
                <w:lang w:val="en-GB" w:eastAsia="zh-CN"/>
              </w:rPr>
              <w:t>－</w:t>
            </w:r>
            <w:r>
              <w:rPr>
                <w:rFonts w:hint="eastAsia" w:ascii="Calibri" w:hAnsi="Calibri"/>
                <w:szCs w:val="21"/>
                <w:lang w:val="en-GB"/>
              </w:rPr>
              <w:t>软件应用程序的增强</w:t>
            </w:r>
            <w:r>
              <w:rPr>
                <w:rFonts w:ascii="Calibri" w:hAnsi="Calibri"/>
                <w:szCs w:val="21"/>
                <w:lang w:val="en-GB"/>
              </w:rPr>
              <w:t>/</w:t>
            </w:r>
            <w:r>
              <w:rPr>
                <w:rFonts w:hint="eastAsia" w:ascii="Calibri" w:hAnsi="Calibri"/>
                <w:szCs w:val="21"/>
                <w:lang w:val="en-GB"/>
              </w:rPr>
              <w:t>缺陷修复。</w:t>
            </w:r>
          </w:p>
        </w:tc>
        <w:tc>
          <w:tcPr>
            <w:tcW w:w="2262" w:type="dxa"/>
            <w:noWrap w:val="0"/>
            <w:vAlign w:val="center"/>
          </w:tcPr>
          <w:p w14:paraId="705FD7A2">
            <w:pPr>
              <w:rPr>
                <w:rFonts w:ascii="Calibri" w:hAnsi="Calibri"/>
                <w:szCs w:val="21"/>
                <w:lang w:val="en-GB"/>
              </w:rPr>
            </w:pPr>
          </w:p>
        </w:tc>
        <w:tc>
          <w:tcPr>
            <w:tcW w:w="1134" w:type="dxa"/>
            <w:noWrap w:val="0"/>
            <w:vAlign w:val="center"/>
          </w:tcPr>
          <w:p w14:paraId="0ACC46D6">
            <w:pPr>
              <w:rPr>
                <w:rFonts w:ascii="Calibri" w:hAnsi="Calibri"/>
                <w:szCs w:val="21"/>
                <w:lang w:val="en-GB"/>
              </w:rPr>
            </w:pPr>
            <w:r>
              <w:rPr>
                <w:rFonts w:ascii="Calibri" w:hAnsi="Calibri"/>
                <w:szCs w:val="21"/>
                <w:lang w:val="en-GB"/>
              </w:rPr>
              <w:t>1</w:t>
            </w:r>
          </w:p>
        </w:tc>
      </w:tr>
      <w:tr w14:paraId="1CEAB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9" w:type="dxa"/>
            <w:vMerge w:val="continue"/>
            <w:noWrap w:val="0"/>
            <w:vAlign w:val="center"/>
          </w:tcPr>
          <w:p w14:paraId="1D0243D4">
            <w:pPr>
              <w:rPr>
                <w:rFonts w:ascii="Calibri" w:hAnsi="Calibri"/>
                <w:b/>
                <w:szCs w:val="21"/>
                <w:lang w:val="en-GB"/>
              </w:rPr>
            </w:pPr>
          </w:p>
        </w:tc>
        <w:tc>
          <w:tcPr>
            <w:tcW w:w="4968" w:type="dxa"/>
            <w:noWrap w:val="0"/>
            <w:vAlign w:val="center"/>
          </w:tcPr>
          <w:p w14:paraId="11C298AF">
            <w:pPr>
              <w:rPr>
                <w:rFonts w:ascii="Calibri" w:hAnsi="Calibri"/>
                <w:szCs w:val="21"/>
                <w:lang w:val="en-GB"/>
              </w:rPr>
            </w:pPr>
            <w:r>
              <w:rPr>
                <w:rFonts w:hint="eastAsia" w:ascii="Calibri" w:hAnsi="Calibri"/>
                <w:szCs w:val="21"/>
                <w:lang w:val="en-GB"/>
              </w:rPr>
              <w:t>服务包括托管客户系统。</w:t>
            </w:r>
          </w:p>
        </w:tc>
        <w:tc>
          <w:tcPr>
            <w:tcW w:w="2262" w:type="dxa"/>
            <w:noWrap w:val="0"/>
            <w:vAlign w:val="center"/>
          </w:tcPr>
          <w:p w14:paraId="2E17C6CA">
            <w:pPr>
              <w:rPr>
                <w:rFonts w:ascii="Calibri" w:hAnsi="Calibri"/>
                <w:szCs w:val="21"/>
                <w:lang w:val="en-GB"/>
              </w:rPr>
            </w:pPr>
          </w:p>
        </w:tc>
        <w:tc>
          <w:tcPr>
            <w:tcW w:w="1134" w:type="dxa"/>
            <w:noWrap w:val="0"/>
            <w:vAlign w:val="center"/>
          </w:tcPr>
          <w:p w14:paraId="324E8A16">
            <w:pPr>
              <w:rPr>
                <w:rFonts w:ascii="Calibri" w:hAnsi="Calibri"/>
                <w:szCs w:val="21"/>
                <w:lang w:val="en-GB"/>
              </w:rPr>
            </w:pPr>
            <w:r>
              <w:rPr>
                <w:rFonts w:ascii="Calibri" w:hAnsi="Calibri"/>
                <w:szCs w:val="21"/>
                <w:lang w:val="en-GB"/>
              </w:rPr>
              <w:t>1</w:t>
            </w:r>
          </w:p>
        </w:tc>
      </w:tr>
      <w:tr w14:paraId="07CFD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9" w:type="dxa"/>
            <w:vMerge w:val="continue"/>
            <w:noWrap w:val="0"/>
            <w:vAlign w:val="center"/>
          </w:tcPr>
          <w:p w14:paraId="040EA1C6">
            <w:pPr>
              <w:rPr>
                <w:rFonts w:ascii="Calibri" w:hAnsi="Calibri"/>
                <w:b/>
                <w:szCs w:val="21"/>
                <w:lang w:val="en-GB"/>
              </w:rPr>
            </w:pPr>
          </w:p>
        </w:tc>
        <w:tc>
          <w:tcPr>
            <w:tcW w:w="4968" w:type="dxa"/>
            <w:noWrap w:val="0"/>
            <w:vAlign w:val="center"/>
          </w:tcPr>
          <w:p w14:paraId="44B2B200">
            <w:pPr>
              <w:rPr>
                <w:rFonts w:ascii="Calibri" w:hAnsi="Calibri"/>
                <w:szCs w:val="21"/>
                <w:lang w:val="en-GB"/>
              </w:rPr>
            </w:pPr>
            <w:r>
              <w:rPr>
                <w:rFonts w:hint="eastAsia" w:ascii="Calibri" w:hAnsi="Calibri"/>
                <w:szCs w:val="21"/>
                <w:lang w:val="en-GB"/>
              </w:rPr>
              <w:t>外包服务的失败可能导致重大事故。</w:t>
            </w:r>
          </w:p>
        </w:tc>
        <w:tc>
          <w:tcPr>
            <w:tcW w:w="2262" w:type="dxa"/>
            <w:noWrap w:val="0"/>
            <w:vAlign w:val="center"/>
          </w:tcPr>
          <w:p w14:paraId="7B847995">
            <w:pPr>
              <w:rPr>
                <w:rFonts w:ascii="Calibri" w:hAnsi="Calibri"/>
                <w:szCs w:val="21"/>
                <w:lang w:val="en-GB"/>
              </w:rPr>
            </w:pPr>
          </w:p>
        </w:tc>
        <w:tc>
          <w:tcPr>
            <w:tcW w:w="1134" w:type="dxa"/>
            <w:noWrap w:val="0"/>
            <w:vAlign w:val="center"/>
          </w:tcPr>
          <w:p w14:paraId="7E632875">
            <w:pPr>
              <w:rPr>
                <w:rFonts w:ascii="Calibri" w:hAnsi="Calibri"/>
                <w:szCs w:val="21"/>
                <w:lang w:val="en-GB"/>
              </w:rPr>
            </w:pPr>
            <w:r>
              <w:rPr>
                <w:rFonts w:ascii="Calibri" w:hAnsi="Calibri"/>
                <w:szCs w:val="21"/>
                <w:lang w:val="en-GB"/>
              </w:rPr>
              <w:t>1</w:t>
            </w:r>
          </w:p>
        </w:tc>
      </w:tr>
      <w:tr w14:paraId="7DC99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9" w:type="dxa"/>
            <w:gridSpan w:val="3"/>
            <w:noWrap w:val="0"/>
            <w:vAlign w:val="center"/>
          </w:tcPr>
          <w:p w14:paraId="42E26D78">
            <w:pPr>
              <w:jc w:val="center"/>
              <w:rPr>
                <w:rFonts w:ascii="Calibri" w:hAnsi="Calibri"/>
                <w:b/>
                <w:szCs w:val="21"/>
                <w:lang w:val="en-GB"/>
              </w:rPr>
            </w:pPr>
            <w:r>
              <w:rPr>
                <w:rFonts w:hint="eastAsia" w:ascii="Calibri" w:hAnsi="Calibri"/>
                <w:b/>
                <w:szCs w:val="21"/>
                <w:lang w:val="en-GB"/>
              </w:rPr>
              <w:t>风险评分</w:t>
            </w:r>
          </w:p>
        </w:tc>
        <w:tc>
          <w:tcPr>
            <w:tcW w:w="1134" w:type="dxa"/>
            <w:noWrap w:val="0"/>
            <w:vAlign w:val="center"/>
          </w:tcPr>
          <w:p w14:paraId="1E08C0BF">
            <w:pPr>
              <w:rPr>
                <w:rFonts w:ascii="Calibri" w:hAnsi="Calibri"/>
                <w:szCs w:val="21"/>
                <w:lang w:val="en-GB"/>
              </w:rPr>
            </w:pPr>
          </w:p>
        </w:tc>
      </w:tr>
      <w:tr w14:paraId="6D5B1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9" w:type="dxa"/>
            <w:gridSpan w:val="3"/>
            <w:noWrap w:val="0"/>
            <w:vAlign w:val="center"/>
          </w:tcPr>
          <w:p w14:paraId="68F78320">
            <w:pPr>
              <w:jc w:val="center"/>
              <w:rPr>
                <w:rFonts w:hint="eastAsia" w:ascii="Calibri" w:hAnsi="Calibri"/>
                <w:b/>
                <w:szCs w:val="21"/>
                <w:lang w:val="en-GB"/>
              </w:rPr>
            </w:pPr>
            <w:r>
              <w:rPr>
                <w:rFonts w:hint="eastAsia" w:ascii="Calibri" w:hAnsi="Calibri"/>
                <w:b/>
                <w:szCs w:val="21"/>
                <w:lang w:val="en-GB"/>
              </w:rPr>
              <w:t>风险等级</w:t>
            </w:r>
          </w:p>
        </w:tc>
        <w:tc>
          <w:tcPr>
            <w:tcW w:w="1134" w:type="dxa"/>
            <w:noWrap w:val="0"/>
            <w:vAlign w:val="center"/>
          </w:tcPr>
          <w:p w14:paraId="6F6AEAAD">
            <w:pPr>
              <w:rPr>
                <w:rFonts w:ascii="Calibri" w:hAnsi="Calibri"/>
                <w:szCs w:val="21"/>
                <w:lang w:val="en-GB"/>
              </w:rPr>
            </w:pPr>
          </w:p>
        </w:tc>
      </w:tr>
    </w:tbl>
    <w:p w14:paraId="511C3245">
      <w:pPr>
        <w:autoSpaceDE w:val="0"/>
        <w:autoSpaceDN w:val="0"/>
        <w:adjustRightInd w:val="0"/>
        <w:spacing w:before="78" w:beforeLines="25" w:after="78" w:afterLines="25"/>
        <w:jc w:val="left"/>
        <w:rPr>
          <w:rFonts w:hint="eastAsia" w:ascii="宋体" w:hAnsi="宋体" w:cs="宋体"/>
          <w:kern w:val="0"/>
          <w:szCs w:val="21"/>
        </w:rPr>
      </w:pPr>
    </w:p>
    <w:p w14:paraId="2FFFC006">
      <w:pPr>
        <w:autoSpaceDE w:val="0"/>
        <w:autoSpaceDN w:val="0"/>
        <w:adjustRightInd w:val="0"/>
        <w:spacing w:before="78" w:beforeLines="25" w:after="78" w:afterLines="25"/>
        <w:jc w:val="left"/>
        <w:rPr>
          <w:rFonts w:hint="eastAsia" w:ascii="宋体" w:hAnsi="宋体" w:cs="宋体"/>
          <w:kern w:val="0"/>
          <w:szCs w:val="21"/>
        </w:rPr>
      </w:pPr>
    </w:p>
    <w:p w14:paraId="448812EF">
      <w:pPr>
        <w:autoSpaceDE w:val="0"/>
        <w:autoSpaceDN w:val="0"/>
        <w:adjustRightInd w:val="0"/>
        <w:spacing w:before="78" w:beforeLines="25" w:after="78" w:afterLines="25"/>
        <w:jc w:val="left"/>
        <w:rPr>
          <w:rFonts w:hint="eastAsia" w:ascii="宋体" w:hAnsi="宋体" w:cs="宋体"/>
          <w:kern w:val="0"/>
          <w:szCs w:val="21"/>
        </w:rPr>
      </w:pPr>
    </w:p>
    <w:p w14:paraId="456CF25C">
      <w:pPr>
        <w:rPr>
          <w:rFonts w:hint="default" w:eastAsia="宋体"/>
          <w:lang w:val="en-US" w:eastAsia="zh-CN"/>
        </w:rPr>
      </w:pPr>
    </w:p>
    <w:sectPr>
      <w:headerReference r:id="rId3" w:type="default"/>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FD8B5B">
    <w:pPr>
      <w:pStyle w:val="3"/>
      <w:pBdr>
        <w:bottom w:val="single" w:color="auto" w:sz="4" w:space="0"/>
      </w:pBdr>
      <w:jc w:val="right"/>
      <w:rPr>
        <w:rFonts w:hint="default"/>
        <w:lang w:val="en-US"/>
      </w:rPr>
    </w:pPr>
    <w:r>
      <w:rPr>
        <w:rFonts w:hint="eastAsia" w:ascii="宋体" w:hAnsi="宋体"/>
        <w:b/>
        <w:u w:val="none"/>
      </w:rPr>
      <w:t>CX</w:t>
    </w:r>
    <w:r>
      <w:rPr>
        <w:rFonts w:ascii="宋体" w:hAnsi="宋体"/>
        <w:b/>
        <w:u w:val="none"/>
      </w:rPr>
      <w:t>22</w:t>
    </w:r>
    <w:r>
      <w:rPr>
        <w:rFonts w:hint="eastAsia" w:ascii="宋体" w:hAnsi="宋体"/>
        <w:b/>
        <w:u w:val="none"/>
      </w:rPr>
      <w:t>-R0</w:t>
    </w:r>
    <w:r>
      <w:rPr>
        <w:rFonts w:hint="eastAsia" w:ascii="宋体" w:hAnsi="宋体"/>
        <w:b/>
        <w:u w:val="none"/>
        <w:lang w:val="en-US" w:eastAsia="zh-CN"/>
      </w:rPr>
      <w:t>1-07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E523B8"/>
    <w:rsid w:val="67E523B8"/>
    <w:rsid w:val="74A810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pPr>
    <w:rPr>
      <w:rFonts w:ascii="Times New Roman" w:hAnsi="Times New Roman" w:eastAsia="宋体" w:cs="Times New Roman"/>
      <w:sz w:val="24"/>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379</Words>
  <Characters>381</Characters>
  <Lines>0</Lines>
  <Paragraphs>0</Paragraphs>
  <TotalTime>0</TotalTime>
  <ScaleCrop>false</ScaleCrop>
  <LinksUpToDate>false</LinksUpToDate>
  <CharactersWithSpaces>382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2025-12-15T05:55:00Z</dcterms:created>
  <dc:creator>鼬</dc:creator>
  <cp:lastModifiedBy>鼬</cp:lastModifiedBy>
  <dcterms:modified xsi:type="dcterms:W3CDTF">2025-12-17T07:41:54Z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18DB27FC13074EB78452FC1726270128_11</vt:lpwstr>
  </property>
  <property fmtid="{D5CDD505-2E9C-101B-9397-08002B2CF9AE}" pid="4" name="KSOTemplateDocerSaveRecord">
    <vt:lpwstr>eyJoZGlkIjoiMjA5MTdlYzJjYTFlMGQzOWFmYzM1ZThlYTYyNDc3ZmYiLCJ1c2VySWQiOiIyNzQ2MDU0NTUifQ==</vt:lpwstr>
  </property>
</Properties>
</file>